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CDEF4" w14:textId="77777777" w:rsidR="009143D2" w:rsidRDefault="009143D2" w:rsidP="000F134E">
      <w:pPr>
        <w:rPr>
          <w:b/>
          <w:sz w:val="24"/>
          <w:szCs w:val="24"/>
        </w:rPr>
      </w:pPr>
    </w:p>
    <w:p w14:paraId="478C39A5" w14:textId="3BAD7818" w:rsidR="00E95D5C" w:rsidRDefault="00065EF2" w:rsidP="00E95D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APÉNDICE 10</w:t>
      </w:r>
      <w:r w:rsidR="00FE7A78">
        <w:rPr>
          <w:b/>
          <w:sz w:val="24"/>
          <w:szCs w:val="24"/>
        </w:rPr>
        <w:t xml:space="preserve"> (RESERVADO)</w:t>
      </w:r>
    </w:p>
    <w:p w14:paraId="698C4315" w14:textId="77777777" w:rsidR="00E95D5C" w:rsidRDefault="00E95D5C" w:rsidP="00E95D5C">
      <w:pPr>
        <w:jc w:val="center"/>
        <w:rPr>
          <w:b/>
          <w:sz w:val="24"/>
          <w:szCs w:val="24"/>
        </w:rPr>
      </w:pPr>
    </w:p>
    <w:p w14:paraId="44F67C28" w14:textId="77777777" w:rsidR="00E95D5C" w:rsidRPr="005C264D" w:rsidRDefault="00E95D5C" w:rsidP="00E95D5C">
      <w:pPr>
        <w:jc w:val="center"/>
        <w:rPr>
          <w:b/>
          <w:sz w:val="24"/>
          <w:szCs w:val="24"/>
        </w:rPr>
      </w:pPr>
      <w:r w:rsidRPr="005C264D">
        <w:rPr>
          <w:b/>
          <w:sz w:val="24"/>
          <w:szCs w:val="24"/>
        </w:rPr>
        <w:t>CLÁUSULAS ESPECIALES DE SEGURIDAD PARA CONTRATO DE CONCESIÓN DEL SERVICIO MÓVIL AVANZADO</w:t>
      </w:r>
    </w:p>
    <w:p w14:paraId="3F05EA37" w14:textId="77777777" w:rsidR="00E95D5C" w:rsidRDefault="00E95D5C" w:rsidP="00E95D5C">
      <w:pPr>
        <w:rPr>
          <w:sz w:val="24"/>
          <w:szCs w:val="24"/>
        </w:rPr>
      </w:pPr>
    </w:p>
    <w:p w14:paraId="60F71818" w14:textId="77777777" w:rsidR="00E95D5C" w:rsidRDefault="00E95D5C" w:rsidP="00E95D5C">
      <w:pPr>
        <w:rPr>
          <w:b/>
        </w:rPr>
      </w:pPr>
      <w:r>
        <w:rPr>
          <w:b/>
        </w:rPr>
        <w:t>SUBSISTEMA DE INTERCEPTACI</w:t>
      </w:r>
      <w:r w:rsidRPr="005C264D">
        <w:rPr>
          <w:b/>
        </w:rPr>
        <w:t xml:space="preserve">ÓN DE COMUNICACIONES O DATOS INFORMÁTICOS </w:t>
      </w:r>
      <w:r>
        <w:rPr>
          <w:b/>
        </w:rPr>
        <w:t>–</w:t>
      </w:r>
      <w:r w:rsidRPr="005C264D">
        <w:rPr>
          <w:b/>
        </w:rPr>
        <w:t xml:space="preserve"> SICOM</w:t>
      </w:r>
    </w:p>
    <w:p w14:paraId="026441F1" w14:textId="77777777" w:rsidR="00E95D5C" w:rsidRPr="005C264D" w:rsidRDefault="00E95D5C" w:rsidP="00E95D5C">
      <w:pPr>
        <w:rPr>
          <w:b/>
        </w:rPr>
      </w:pPr>
    </w:p>
    <w:p w14:paraId="5B425945" w14:textId="77777777" w:rsidR="00E95D5C" w:rsidRDefault="00E95D5C" w:rsidP="00E95D5C">
      <w:r w:rsidRPr="005C264D">
        <w:rPr>
          <w:b/>
        </w:rPr>
        <w:t>PRIMERA.-</w:t>
      </w:r>
      <w:r>
        <w:t xml:space="preserve"> El Concesionario a su costo realizará la instalación, configuración, soporte técnico y mantenimiento, necesario en sus redes, plataformas, instalaciones físicas y tecnológicas, incluyendo los costos de su integración que corresponden a las plataformas del Concesionario, que permitan a la autoridad competente extraer la información de la interceptación legal de comunicaciones y/o datos informáticos de los Servicios de Telecomunicaciones Objeto del Presente Contrato, incluida la geolocalización, de conformidad con los estándares técnicos de seguridad y de la industria, la normativa legal y resoluciones emitidas por el ente rector de Regulación y Control de Telecomunicaciones.</w:t>
      </w:r>
    </w:p>
    <w:p w14:paraId="1B67980B" w14:textId="77777777" w:rsidR="00E95D5C" w:rsidRDefault="00E95D5C" w:rsidP="00E95D5C"/>
    <w:p w14:paraId="70409EA8" w14:textId="77777777" w:rsidR="00E95D5C" w:rsidRDefault="00E95D5C" w:rsidP="00E95D5C">
      <w:r>
        <w:t>Entiéndase por integración que tanto el Concesionario como la entidad del Estado realizarán cada una dentro de sus competencias, y a sus respectivos costos, la interconexión de las plataformas tecnológicas utilizadas cumpliendo estándares técnicos de seguridad y de la industria.</w:t>
      </w:r>
    </w:p>
    <w:p w14:paraId="7A1389DD" w14:textId="77777777" w:rsidR="00E95D5C" w:rsidRDefault="00E95D5C" w:rsidP="00E95D5C"/>
    <w:p w14:paraId="5A9CE6C8" w14:textId="77777777" w:rsidR="00E95D5C" w:rsidRDefault="00E95D5C" w:rsidP="00E95D5C">
      <w:r>
        <w:t>Cuando por razones de cambio, modernización y/o actualización, el Concesionario o el Estado renueven su infraestructura tecnológica, entendidos como hardware y/o softwares relacionados a la interceptación legal de comunicaciones y/o datos informáticos, deberán mantener la disponibilidad y compatibilidad sujeta a los estándares técnicos y de seguridad de la industria en lo correspondiente a la interceptación legal de comunicaciones y/o datos informáticos y geolocalización.</w:t>
      </w:r>
    </w:p>
    <w:p w14:paraId="504E7E77" w14:textId="77777777" w:rsidR="00E95D5C" w:rsidRDefault="00E95D5C" w:rsidP="00E95D5C"/>
    <w:p w14:paraId="6E568613" w14:textId="77777777" w:rsidR="00E95D5C" w:rsidRDefault="00E95D5C" w:rsidP="00E95D5C">
      <w:r>
        <w:t>El Concesionario tiene la obligación de brindar el acceso en tiempo real y en forma ininterrumpida, excepto por labores de mantenimiento, averías o casos de fuerza mayor o casos fortuitos, sujetos a un procedimiento de escalamiento acordado entre el Concesionario y la Autoridad competente que garantice los requisitos de disponibilidad, e integridad de la información para la interceptación legal de comunicaciones y/o datos informáticos.</w:t>
      </w:r>
    </w:p>
    <w:p w14:paraId="086287DC" w14:textId="77777777" w:rsidR="00E95D5C" w:rsidRDefault="00E95D5C" w:rsidP="00E95D5C"/>
    <w:p w14:paraId="4702A743" w14:textId="77777777" w:rsidR="00E95D5C" w:rsidRDefault="00E95D5C" w:rsidP="00E95D5C">
      <w:r>
        <w:t xml:space="preserve">El Concesionario tendrá un plazo de seis (6) meses, contados a partir de </w:t>
      </w:r>
      <w:r w:rsidRPr="00540347">
        <w:t>la fecha de suscripción del presente Contrato, para implementar el acceso al servicio de datos y geolocalización conforme lo previsto</w:t>
      </w:r>
      <w:r>
        <w:t xml:space="preserve"> en esta cláusula.</w:t>
      </w:r>
    </w:p>
    <w:p w14:paraId="4BD792DA" w14:textId="77777777" w:rsidR="00E95D5C" w:rsidRDefault="00E95D5C" w:rsidP="00E95D5C"/>
    <w:p w14:paraId="2829830C" w14:textId="77777777" w:rsidR="00E95D5C" w:rsidRDefault="00E95D5C" w:rsidP="00E95D5C"/>
    <w:p w14:paraId="5B9532A2" w14:textId="77777777" w:rsidR="00E95D5C" w:rsidRDefault="00E95D5C" w:rsidP="00E95D5C">
      <w:r>
        <w:rPr>
          <w:b/>
        </w:rPr>
        <w:lastRenderedPageBreak/>
        <w:t>SEGUNDA.</w:t>
      </w:r>
      <w:r w:rsidRPr="005C264D">
        <w:rPr>
          <w:b/>
        </w:rPr>
        <w:t>-</w:t>
      </w:r>
      <w:r>
        <w:t xml:space="preserve"> A costo del Concesionario mantendrá, actualizará y permitirá a la entidad competente del Estado el acceso a consultas de reportes de Abonados y la información de registros de los eventos de los servicios de telecomunicaciones objeto del presente Contrato conforme al Ordenamiento Jurídico Vigente por medio de, un interfaz de consulta creado, administrado, gestionado y actualizado por el Concesionario.</w:t>
      </w:r>
    </w:p>
    <w:p w14:paraId="05C45170" w14:textId="77777777" w:rsidR="00E95D5C" w:rsidRDefault="00E95D5C" w:rsidP="00E95D5C"/>
    <w:p w14:paraId="5774EE55" w14:textId="77777777" w:rsidR="00E95D5C" w:rsidRDefault="00E95D5C" w:rsidP="00E95D5C">
      <w:r>
        <w:t>El Concesionario mantendrá la información de registros de los eventos de los Servicios de Telecomunicaciones Objeto del Presente Contrato por doce (12) meses.</w:t>
      </w:r>
    </w:p>
    <w:p w14:paraId="3BE81902" w14:textId="77777777" w:rsidR="00E95D5C" w:rsidRDefault="00E95D5C" w:rsidP="00E95D5C"/>
    <w:p w14:paraId="52142B4E" w14:textId="77777777" w:rsidR="00E95D5C" w:rsidRDefault="00E95D5C" w:rsidP="00E95D5C">
      <w:r>
        <w:t>El Concesionario tendrá disponible el acceso a los registros de los eventos del servicio de datos y a la interfaz de consulta en un plazo de seis (6) meses a partir de la fecha de  suscripción del presente Contrato.</w:t>
      </w:r>
    </w:p>
    <w:p w14:paraId="6ACE3769" w14:textId="77777777" w:rsidR="00E95D5C" w:rsidRDefault="00E95D5C" w:rsidP="00E95D5C"/>
    <w:p w14:paraId="04309C74" w14:textId="77777777" w:rsidR="00E95D5C" w:rsidRDefault="00E95D5C" w:rsidP="00E95D5C"/>
    <w:p w14:paraId="57EEB16E" w14:textId="77777777" w:rsidR="00E95D5C" w:rsidRDefault="00E95D5C" w:rsidP="00E95D5C">
      <w:pPr>
        <w:rPr>
          <w:b/>
        </w:rPr>
      </w:pPr>
      <w:r w:rsidRPr="00992545">
        <w:rPr>
          <w:b/>
        </w:rPr>
        <w:t>SISTEMA DE SEGURIDAD PÚBLICA Y DEL ESTADO</w:t>
      </w:r>
    </w:p>
    <w:p w14:paraId="7B19B800" w14:textId="77777777" w:rsidR="00E95D5C" w:rsidRDefault="00E95D5C" w:rsidP="00E95D5C">
      <w:pPr>
        <w:rPr>
          <w:b/>
        </w:rPr>
      </w:pPr>
    </w:p>
    <w:p w14:paraId="24B4DF8C" w14:textId="77777777" w:rsidR="00E95D5C" w:rsidRPr="00992545" w:rsidRDefault="00E95D5C" w:rsidP="00E95D5C">
      <w:r w:rsidRPr="00992545">
        <w:rPr>
          <w:b/>
        </w:rPr>
        <w:t>TERCERA.-</w:t>
      </w:r>
      <w:r>
        <w:rPr>
          <w:b/>
        </w:rPr>
        <w:t xml:space="preserve"> </w:t>
      </w:r>
      <w:r w:rsidRPr="00992545">
        <w:t>La ARCOTEL, de conformidad con la Legislación Aplicable</w:t>
      </w:r>
      <w:r>
        <w:t>,</w:t>
      </w:r>
      <w:r w:rsidRPr="00992545">
        <w:t xml:space="preserve">  previa solicitud motivada por el ente rector de la defensa nacional o por el ente rector de la seguridad ciudadana, protección interna y orden público, dispondrá al Concesionario adoptar las medidas y ejecutar las configuraciones técnicamente factibles en sus redes, plataformas, facilidades tecnológicas e instalaciones físicas, para que ARCOTEL su</w:t>
      </w:r>
      <w:r>
        <w:t>s</w:t>
      </w:r>
      <w:r w:rsidRPr="00992545">
        <w:t>penda u ordene la suspensión temporal de la prestación de los Servicios Concesionados, conforme a los procedimientos dispuestos por ARCOTEL, en lugares o sitios declarados como zonas de seguridad, áreas reservadas de seguridad y otros que a futuro se definan como tal en sus diversos tipos a nivel nacional por los entes competentes, con el fin de precautelar la seguridad nacional, ciudadana y pública.</w:t>
      </w:r>
    </w:p>
    <w:p w14:paraId="49F0C7F7" w14:textId="77777777" w:rsidR="00E95D5C" w:rsidRPr="00992545" w:rsidRDefault="00E95D5C" w:rsidP="00E95D5C"/>
    <w:p w14:paraId="35341ADC" w14:textId="7F269BBD" w:rsidR="00E95D5C" w:rsidRDefault="00E95D5C" w:rsidP="00E95D5C">
      <w:r w:rsidRPr="00992545">
        <w:t>Siguiendo el procedimiento anterior, en el caso de los Centros de Privación de Libertad, Centro</w:t>
      </w:r>
      <w:r>
        <w:t>s</w:t>
      </w:r>
      <w:r w:rsidRPr="00992545">
        <w:t xml:space="preserve"> de Rehabilitación Social, Centro</w:t>
      </w:r>
      <w:r>
        <w:t>s</w:t>
      </w:r>
      <w:r w:rsidRPr="00992545">
        <w:t xml:space="preserve"> de Privación Provisional de Libertad, Centros de Adolescentes Infractores y otros q</w:t>
      </w:r>
      <w:r w:rsidR="002440F7">
        <w:t>ue a futuro se definan como tal</w:t>
      </w:r>
      <w:r w:rsidR="004B7017">
        <w:t>es</w:t>
      </w:r>
      <w:r w:rsidRPr="00992545">
        <w:t>, en sus diversos tipos a nivel nacional, la suspensión u orden de su</w:t>
      </w:r>
      <w:r>
        <w:t>s</w:t>
      </w:r>
      <w:r w:rsidRPr="00992545">
        <w:t>pensión de la prestación de los Servicios Concesionados a usuarios o equipos terminales por parte de ARCOTEL será permanente, en las zonas antes mencionadas, con el fin de precautelar la seguridad nacional, ciudadana y pública.</w:t>
      </w:r>
    </w:p>
    <w:p w14:paraId="2AF73261" w14:textId="77777777" w:rsidR="00E95D5C" w:rsidRDefault="00E95D5C" w:rsidP="00E95D5C"/>
    <w:p w14:paraId="68547F83" w14:textId="77777777" w:rsidR="00E95D5C" w:rsidRPr="00C6349B" w:rsidRDefault="00E95D5C" w:rsidP="00E95D5C">
      <w:pPr>
        <w:rPr>
          <w:b/>
        </w:rPr>
      </w:pPr>
    </w:p>
    <w:p w14:paraId="0CACC159" w14:textId="30FB2781" w:rsidR="00E95D5C" w:rsidRDefault="00E95D5C" w:rsidP="00E95D5C">
      <w:r w:rsidRPr="00C6349B">
        <w:rPr>
          <w:b/>
        </w:rPr>
        <w:t>CUARTA.-</w:t>
      </w:r>
      <w:r w:rsidR="00561B9F">
        <w:t xml:space="preserve"> En caso de agresión,</w:t>
      </w:r>
      <w:r>
        <w:t xml:space="preserve"> conflicto</w:t>
      </w:r>
      <w:r w:rsidR="00FE56A0">
        <w:t xml:space="preserve"> armado internacional o interno,</w:t>
      </w:r>
      <w:r>
        <w:t xml:space="preserve"> grave conmo</w:t>
      </w:r>
      <w:r w:rsidR="00FE56A0">
        <w:t>ción interna, calamidad pública, desastre natural,</w:t>
      </w:r>
      <w:r>
        <w:t xml:space="preserve"> emerge</w:t>
      </w:r>
      <w:r w:rsidR="00FE56A0">
        <w:t>ncia nacional, regional o local,</w:t>
      </w:r>
      <w:r>
        <w:t xml:space="preserve"> que amerite la declaratoria del estado de excepción, emitidos bajo Decreto Ejecutivo por el Presidente o Presidenta de la República del Ecuador, que involucre el control directo e inmediato de los servicios de telecomunicaciones; el Concesionario está obligado a acatar lo establecido en el artículo 8 de la Ley </w:t>
      </w:r>
      <w:r>
        <w:lastRenderedPageBreak/>
        <w:t>Orgánica de Telecomunicaciones, a fin de que contribuya al accionar del ente rector de la defensa, tomando las medidas de seguridad para garantizar la reserva de la información.</w:t>
      </w:r>
    </w:p>
    <w:p w14:paraId="5A82375E" w14:textId="77777777" w:rsidR="00E95D5C" w:rsidRDefault="00E95D5C" w:rsidP="00E95D5C"/>
    <w:p w14:paraId="5092E84A" w14:textId="77777777" w:rsidR="00E95D5C" w:rsidRDefault="00E95D5C" w:rsidP="00E95D5C"/>
    <w:p w14:paraId="5287F274" w14:textId="0F3784CF" w:rsidR="00E95D5C" w:rsidRDefault="00E95D5C" w:rsidP="00E95D5C">
      <w:r w:rsidRPr="00C6349B">
        <w:rPr>
          <w:b/>
        </w:rPr>
        <w:t>QUINTA.-</w:t>
      </w:r>
      <w:r>
        <w:t xml:space="preserve"> El Concesionario se obliga a promover y publicitar activamente, entre la ciudadanía, el uso de los servicios gratuitos de mensajes de emergencia y números de denuncia; lo anterior se realizará, por parte del Concesionario, mediante la publicación de los antes referidos servicios y de los números de denuncia que existan o pudieran existir a futuro, en sus páginas web, previa</w:t>
      </w:r>
      <w:r w:rsidR="00CA7414">
        <w:t xml:space="preserve"> </w:t>
      </w:r>
      <w:r>
        <w:t>coordinación de la información a publicar, con el ente rector de la seguridad ciudadana, protección interna y orden público.</w:t>
      </w:r>
    </w:p>
    <w:p w14:paraId="446D333E" w14:textId="77777777" w:rsidR="00E95D5C" w:rsidRDefault="00E95D5C" w:rsidP="00E95D5C"/>
    <w:p w14:paraId="2C53A8F7" w14:textId="77777777" w:rsidR="00E95D5C" w:rsidRDefault="00E95D5C" w:rsidP="00E95D5C"/>
    <w:p w14:paraId="2085E499" w14:textId="77777777" w:rsidR="00E95D5C" w:rsidRDefault="00E95D5C" w:rsidP="00E95D5C">
      <w:r w:rsidRPr="00C6349B">
        <w:rPr>
          <w:b/>
        </w:rPr>
        <w:t>SEXTA.-</w:t>
      </w:r>
      <w:r w:rsidRPr="00C6349B">
        <w:t xml:space="preserve"> El Concesionario garantizará el acceso y uso libre de las aplicaciones "Sistema Informático Integrado de la Policía Nacional del Ecuador", "Sistema de Mando y Control" y "Control de Armas", o de las aplicaciones que hagan sus veces, utilizadas en dispositivos móviles, con la finalidad de que el Estado proteja la soberanía e integridad territorial y la seguridad pública y ciudadana.</w:t>
      </w:r>
    </w:p>
    <w:p w14:paraId="64A71878" w14:textId="77777777" w:rsidR="00444E4C" w:rsidRDefault="00444E4C" w:rsidP="00E95D5C"/>
    <w:p w14:paraId="7962A063" w14:textId="2B635C92" w:rsidR="00444E4C" w:rsidRDefault="00444E4C" w:rsidP="00E95D5C">
      <w:r>
        <w:rPr>
          <w:b/>
        </w:rPr>
        <w:t>SÉPTIMA.-</w:t>
      </w:r>
      <w:r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bookmarkStart w:id="0" w:name="_GoBack"/>
      <w:bookmarkEnd w:id="0"/>
      <w:r w:rsidRPr="00444E4C">
        <w:t>El Estado ecuatoriano se obliga a mantener indemne y liberar en forma efectiva al Concesionario, sus representantes legales y administradores de las consecuencias que las acciones u omisiones de sus servidores públicos provoquen en la ejecución de las Cláusulas Especiales de Seguridad, incluyendo el uso de información confidencial y el tratamiento de datos personales.</w:t>
      </w:r>
    </w:p>
    <w:p w14:paraId="57AFEC47" w14:textId="77777777" w:rsidR="00444E4C" w:rsidRDefault="00444E4C" w:rsidP="00E95D5C"/>
    <w:p w14:paraId="789AB4D0" w14:textId="77777777" w:rsidR="00E95D5C" w:rsidRDefault="00E95D5C" w:rsidP="00E95D5C"/>
    <w:p w14:paraId="4B9F8564" w14:textId="77777777" w:rsidR="00E95D5C" w:rsidRDefault="00E95D5C" w:rsidP="00E95D5C">
      <w:pPr>
        <w:rPr>
          <w:b/>
        </w:rPr>
      </w:pPr>
      <w:r w:rsidRPr="00C6349B">
        <w:rPr>
          <w:b/>
        </w:rPr>
        <w:t>CONSIDERACIÓN FINAL</w:t>
      </w:r>
    </w:p>
    <w:p w14:paraId="62178918" w14:textId="77777777" w:rsidR="00E95D5C" w:rsidRPr="00C6349B" w:rsidRDefault="00E95D5C" w:rsidP="00E95D5C">
      <w:pPr>
        <w:rPr>
          <w:b/>
        </w:rPr>
      </w:pPr>
    </w:p>
    <w:p w14:paraId="41CD35EE" w14:textId="437765D3" w:rsidR="00E95D5C" w:rsidRPr="00C6349B" w:rsidRDefault="003B0683" w:rsidP="00E95D5C">
      <w:r>
        <w:t>En el Contrato de C</w:t>
      </w:r>
      <w:r w:rsidR="00E95D5C">
        <w:t>oncesión para todas las cláusulas especiales de seguridad, se debe contemplar la mutabilidad tecnológica que se presente, sin que esto conlleve a los cambios de las cláusulas que permitan la desnaturalización de los compromisos convenidos para el desarrollo de los objetivos, debiendo cumplir y ajustarse a lo establecido en el Ordenamiento Jurídico Vigente, en caso de reformarse o promulgarse norma favorable a la ejecución de referidas cláusulas, esta será aplicada de manera inmediata.</w:t>
      </w:r>
    </w:p>
    <w:p w14:paraId="7FF003E9" w14:textId="77777777" w:rsidR="008074AE" w:rsidRPr="00E95D5C" w:rsidRDefault="008074AE" w:rsidP="00E95D5C"/>
    <w:sectPr w:rsidR="008074AE" w:rsidRPr="00E95D5C" w:rsidSect="004C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7" w:right="1977" w:bottom="1417" w:left="1985" w:header="0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66125" w14:textId="77777777" w:rsidR="00D96B00" w:rsidRDefault="00D96B00" w:rsidP="008C3FDF">
      <w:r>
        <w:separator/>
      </w:r>
    </w:p>
  </w:endnote>
  <w:endnote w:type="continuationSeparator" w:id="0">
    <w:p w14:paraId="2C85C29E" w14:textId="77777777" w:rsidR="00D96B00" w:rsidRDefault="00D96B00" w:rsidP="008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EA5C2" w14:textId="77777777" w:rsidR="000F134E" w:rsidRDefault="000F13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88DE9" w14:textId="6D3039C2" w:rsidR="00650F53" w:rsidRDefault="00650F53" w:rsidP="004C35C3">
    <w:pPr>
      <w:pStyle w:val="Piedepgina"/>
      <w:tabs>
        <w:tab w:val="clear" w:pos="8504"/>
      </w:tabs>
      <w:ind w:left="-1985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55976F1E" wp14:editId="469CA717">
          <wp:simplePos x="0" y="0"/>
          <wp:positionH relativeFrom="column">
            <wp:posOffset>-1108075</wp:posOffset>
          </wp:positionH>
          <wp:positionV relativeFrom="page">
            <wp:posOffset>9182100</wp:posOffset>
          </wp:positionV>
          <wp:extent cx="7251864" cy="14991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1864" cy="149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83F0" w14:textId="77777777" w:rsidR="000F134E" w:rsidRDefault="000F1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7DD74" w14:textId="77777777" w:rsidR="00D96B00" w:rsidRDefault="00D96B00" w:rsidP="008C3FDF">
      <w:r>
        <w:separator/>
      </w:r>
    </w:p>
  </w:footnote>
  <w:footnote w:type="continuationSeparator" w:id="0">
    <w:p w14:paraId="25346A1A" w14:textId="77777777" w:rsidR="00D96B00" w:rsidRDefault="00D96B00" w:rsidP="008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4225" w14:textId="4D7F8D6C" w:rsidR="000F134E" w:rsidRDefault="00444E4C">
    <w:pPr>
      <w:pStyle w:val="Encabezado"/>
    </w:pPr>
    <w:r>
      <w:rPr>
        <w:noProof/>
      </w:rPr>
      <w:pict w14:anchorId="258DD7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6.35pt;height:9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C19E" w14:textId="1201DE92" w:rsidR="00650F53" w:rsidRDefault="00444E4C" w:rsidP="005B587A">
    <w:pPr>
      <w:pStyle w:val="Encabezado"/>
      <w:tabs>
        <w:tab w:val="clear" w:pos="8504"/>
        <w:tab w:val="right" w:pos="8498"/>
      </w:tabs>
      <w:ind w:left="-1985"/>
    </w:pPr>
    <w:r>
      <w:rPr>
        <w:noProof/>
      </w:rPr>
      <w:pict w14:anchorId="4E8651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66.35pt;height:9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O"/>
          <w10:wrap anchorx="margin" anchory="margin"/>
        </v:shape>
      </w:pict>
    </w:r>
    <w:r w:rsidR="00650F53">
      <w:rPr>
        <w:noProof/>
        <w:lang w:val="es-EC" w:eastAsia="es-EC"/>
      </w:rPr>
      <w:drawing>
        <wp:inline distT="0" distB="0" distL="0" distR="0" wp14:anchorId="795D3CCC" wp14:editId="4E2B3815">
          <wp:extent cx="7552699" cy="183134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5565" cy="18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437A" w14:textId="4331FAA6" w:rsidR="000F134E" w:rsidRDefault="00444E4C">
    <w:pPr>
      <w:pStyle w:val="Encabezado"/>
    </w:pPr>
    <w:r>
      <w:rPr>
        <w:noProof/>
      </w:rPr>
      <w:pict w14:anchorId="1CF6C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66.35pt;height:9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F351B"/>
    <w:multiLevelType w:val="multilevel"/>
    <w:tmpl w:val="0094A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E2F16CB"/>
    <w:multiLevelType w:val="hybridMultilevel"/>
    <w:tmpl w:val="35CACF8E"/>
    <w:lvl w:ilvl="0" w:tplc="F2240A58">
      <w:numFmt w:val="bullet"/>
      <w:lvlText w:val="-"/>
      <w:lvlJc w:val="left"/>
      <w:pPr>
        <w:ind w:left="127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65E0F30">
      <w:numFmt w:val="bullet"/>
      <w:lvlText w:val="•"/>
      <w:lvlJc w:val="left"/>
      <w:pPr>
        <w:ind w:left="985" w:hanging="135"/>
      </w:pPr>
      <w:rPr>
        <w:rFonts w:hint="default"/>
        <w:lang w:val="es-ES" w:eastAsia="en-US" w:bidi="ar-SA"/>
      </w:rPr>
    </w:lvl>
    <w:lvl w:ilvl="2" w:tplc="037AD3A2">
      <w:numFmt w:val="bullet"/>
      <w:lvlText w:val="•"/>
      <w:lvlJc w:val="left"/>
      <w:pPr>
        <w:ind w:left="1851" w:hanging="135"/>
      </w:pPr>
      <w:rPr>
        <w:rFonts w:hint="default"/>
        <w:lang w:val="es-ES" w:eastAsia="en-US" w:bidi="ar-SA"/>
      </w:rPr>
    </w:lvl>
    <w:lvl w:ilvl="3" w:tplc="AA0ABA88">
      <w:numFmt w:val="bullet"/>
      <w:lvlText w:val="•"/>
      <w:lvlJc w:val="left"/>
      <w:pPr>
        <w:ind w:left="2717" w:hanging="135"/>
      </w:pPr>
      <w:rPr>
        <w:rFonts w:hint="default"/>
        <w:lang w:val="es-ES" w:eastAsia="en-US" w:bidi="ar-SA"/>
      </w:rPr>
    </w:lvl>
    <w:lvl w:ilvl="4" w:tplc="982AE86E">
      <w:numFmt w:val="bullet"/>
      <w:lvlText w:val="•"/>
      <w:lvlJc w:val="left"/>
      <w:pPr>
        <w:ind w:left="3583" w:hanging="135"/>
      </w:pPr>
      <w:rPr>
        <w:rFonts w:hint="default"/>
        <w:lang w:val="es-ES" w:eastAsia="en-US" w:bidi="ar-SA"/>
      </w:rPr>
    </w:lvl>
    <w:lvl w:ilvl="5" w:tplc="41826BC6">
      <w:numFmt w:val="bullet"/>
      <w:lvlText w:val="•"/>
      <w:lvlJc w:val="left"/>
      <w:pPr>
        <w:ind w:left="4449" w:hanging="135"/>
      </w:pPr>
      <w:rPr>
        <w:rFonts w:hint="default"/>
        <w:lang w:val="es-ES" w:eastAsia="en-US" w:bidi="ar-SA"/>
      </w:rPr>
    </w:lvl>
    <w:lvl w:ilvl="6" w:tplc="0226E4C4">
      <w:numFmt w:val="bullet"/>
      <w:lvlText w:val="•"/>
      <w:lvlJc w:val="left"/>
      <w:pPr>
        <w:ind w:left="5314" w:hanging="135"/>
      </w:pPr>
      <w:rPr>
        <w:rFonts w:hint="default"/>
        <w:lang w:val="es-ES" w:eastAsia="en-US" w:bidi="ar-SA"/>
      </w:rPr>
    </w:lvl>
    <w:lvl w:ilvl="7" w:tplc="E1309F22">
      <w:numFmt w:val="bullet"/>
      <w:lvlText w:val="•"/>
      <w:lvlJc w:val="left"/>
      <w:pPr>
        <w:ind w:left="6180" w:hanging="135"/>
      </w:pPr>
      <w:rPr>
        <w:rFonts w:hint="default"/>
        <w:lang w:val="es-ES" w:eastAsia="en-US" w:bidi="ar-SA"/>
      </w:rPr>
    </w:lvl>
    <w:lvl w:ilvl="8" w:tplc="54BAE8C8">
      <w:numFmt w:val="bullet"/>
      <w:lvlText w:val="•"/>
      <w:lvlJc w:val="left"/>
      <w:pPr>
        <w:ind w:left="7046" w:hanging="135"/>
      </w:pPr>
      <w:rPr>
        <w:rFonts w:hint="default"/>
        <w:lang w:val="es-ES" w:eastAsia="en-US" w:bidi="ar-SA"/>
      </w:rPr>
    </w:lvl>
  </w:abstractNum>
  <w:abstractNum w:abstractNumId="2">
    <w:nsid w:val="76130BAD"/>
    <w:multiLevelType w:val="hybridMultilevel"/>
    <w:tmpl w:val="1D8AB014"/>
    <w:lvl w:ilvl="0" w:tplc="4D0AF07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DF"/>
    <w:rsid w:val="00023A2E"/>
    <w:rsid w:val="000546FA"/>
    <w:rsid w:val="0005778A"/>
    <w:rsid w:val="00065EF2"/>
    <w:rsid w:val="000733D3"/>
    <w:rsid w:val="000816A1"/>
    <w:rsid w:val="000A0B92"/>
    <w:rsid w:val="000A3816"/>
    <w:rsid w:val="000F134E"/>
    <w:rsid w:val="0010049E"/>
    <w:rsid w:val="00160594"/>
    <w:rsid w:val="00173CB0"/>
    <w:rsid w:val="001B0C21"/>
    <w:rsid w:val="001C1361"/>
    <w:rsid w:val="001C356A"/>
    <w:rsid w:val="001F59C9"/>
    <w:rsid w:val="00207B5E"/>
    <w:rsid w:val="00212342"/>
    <w:rsid w:val="00226467"/>
    <w:rsid w:val="002440F7"/>
    <w:rsid w:val="002570DA"/>
    <w:rsid w:val="00261EC7"/>
    <w:rsid w:val="00264F0D"/>
    <w:rsid w:val="00294227"/>
    <w:rsid w:val="002C1C80"/>
    <w:rsid w:val="002F23CD"/>
    <w:rsid w:val="003223A8"/>
    <w:rsid w:val="003234D9"/>
    <w:rsid w:val="00362045"/>
    <w:rsid w:val="0037685D"/>
    <w:rsid w:val="003B0683"/>
    <w:rsid w:val="003F62BF"/>
    <w:rsid w:val="004072B5"/>
    <w:rsid w:val="00407E59"/>
    <w:rsid w:val="00444E4C"/>
    <w:rsid w:val="00474EBE"/>
    <w:rsid w:val="00484C3F"/>
    <w:rsid w:val="00485740"/>
    <w:rsid w:val="00487E6E"/>
    <w:rsid w:val="004A5F21"/>
    <w:rsid w:val="004B7017"/>
    <w:rsid w:val="004C35C3"/>
    <w:rsid w:val="004D54BF"/>
    <w:rsid w:val="00501FEB"/>
    <w:rsid w:val="0052386E"/>
    <w:rsid w:val="00527157"/>
    <w:rsid w:val="005602CC"/>
    <w:rsid w:val="00561B9F"/>
    <w:rsid w:val="005932E4"/>
    <w:rsid w:val="005A22FF"/>
    <w:rsid w:val="005B587A"/>
    <w:rsid w:val="005C17E2"/>
    <w:rsid w:val="005E393D"/>
    <w:rsid w:val="005E4C25"/>
    <w:rsid w:val="005F1A70"/>
    <w:rsid w:val="00630205"/>
    <w:rsid w:val="00650F53"/>
    <w:rsid w:val="00683B8E"/>
    <w:rsid w:val="006A3422"/>
    <w:rsid w:val="006A3B42"/>
    <w:rsid w:val="006E349A"/>
    <w:rsid w:val="006F5592"/>
    <w:rsid w:val="00701893"/>
    <w:rsid w:val="00721A50"/>
    <w:rsid w:val="007256CF"/>
    <w:rsid w:val="00747D3E"/>
    <w:rsid w:val="007506DF"/>
    <w:rsid w:val="00761E3E"/>
    <w:rsid w:val="00761E5D"/>
    <w:rsid w:val="0076274A"/>
    <w:rsid w:val="00765966"/>
    <w:rsid w:val="00772CFF"/>
    <w:rsid w:val="007820F4"/>
    <w:rsid w:val="00787B51"/>
    <w:rsid w:val="007A50B9"/>
    <w:rsid w:val="008074AE"/>
    <w:rsid w:val="00881BDC"/>
    <w:rsid w:val="00895610"/>
    <w:rsid w:val="008C3FDF"/>
    <w:rsid w:val="008C5425"/>
    <w:rsid w:val="008D4031"/>
    <w:rsid w:val="008D7906"/>
    <w:rsid w:val="009143D2"/>
    <w:rsid w:val="009A4B25"/>
    <w:rsid w:val="009C5071"/>
    <w:rsid w:val="00A24CF7"/>
    <w:rsid w:val="00A439C6"/>
    <w:rsid w:val="00A65D0D"/>
    <w:rsid w:val="00AA2211"/>
    <w:rsid w:val="00AB08BE"/>
    <w:rsid w:val="00B1076B"/>
    <w:rsid w:val="00B13978"/>
    <w:rsid w:val="00B55070"/>
    <w:rsid w:val="00B5712D"/>
    <w:rsid w:val="00B57179"/>
    <w:rsid w:val="00B6480B"/>
    <w:rsid w:val="00BD5970"/>
    <w:rsid w:val="00BD74CD"/>
    <w:rsid w:val="00C20B10"/>
    <w:rsid w:val="00C24A39"/>
    <w:rsid w:val="00C93399"/>
    <w:rsid w:val="00CA7414"/>
    <w:rsid w:val="00CD02F8"/>
    <w:rsid w:val="00CD5DEE"/>
    <w:rsid w:val="00CD7388"/>
    <w:rsid w:val="00CE5068"/>
    <w:rsid w:val="00D001C4"/>
    <w:rsid w:val="00D11D89"/>
    <w:rsid w:val="00D46476"/>
    <w:rsid w:val="00D653F6"/>
    <w:rsid w:val="00D83339"/>
    <w:rsid w:val="00D94DD9"/>
    <w:rsid w:val="00D96B00"/>
    <w:rsid w:val="00DE3FC8"/>
    <w:rsid w:val="00E212EC"/>
    <w:rsid w:val="00E50487"/>
    <w:rsid w:val="00E640C3"/>
    <w:rsid w:val="00E95D5C"/>
    <w:rsid w:val="00E96C57"/>
    <w:rsid w:val="00EA2001"/>
    <w:rsid w:val="00EF04FA"/>
    <w:rsid w:val="00EF7F76"/>
    <w:rsid w:val="00F00C76"/>
    <w:rsid w:val="00F3047B"/>
    <w:rsid w:val="00F343C1"/>
    <w:rsid w:val="00F35683"/>
    <w:rsid w:val="00F412EF"/>
    <w:rsid w:val="00F568C6"/>
    <w:rsid w:val="00F94250"/>
    <w:rsid w:val="00FB7B98"/>
    <w:rsid w:val="00FC7256"/>
    <w:rsid w:val="00FE56A0"/>
    <w:rsid w:val="00FE7A78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EBC5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01"/>
    <w:pPr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FD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3FDF"/>
  </w:style>
  <w:style w:type="paragraph" w:styleId="Piedepgina">
    <w:name w:val="footer"/>
    <w:basedOn w:val="Normal"/>
    <w:link w:val="PiedepginaCar"/>
    <w:uiPriority w:val="99"/>
    <w:unhideWhenUsed/>
    <w:rsid w:val="008C3FDF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FDF"/>
  </w:style>
  <w:style w:type="table" w:styleId="Tablaconcuadrcula">
    <w:name w:val="Table Grid"/>
    <w:basedOn w:val="Tablanormal"/>
    <w:uiPriority w:val="39"/>
    <w:rsid w:val="004C35C3"/>
    <w:rPr>
      <w:sz w:val="22"/>
      <w:szCs w:val="22"/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C35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7E2"/>
    <w:rPr>
      <w:color w:val="954F72" w:themeColor="followedHyperlink"/>
      <w:u w:val="single"/>
    </w:rPr>
  </w:style>
  <w:style w:type="character" w:customStyle="1" w:styleId="leidos">
    <w:name w:val="leidos"/>
    <w:basedOn w:val="Fuentedeprrafopredeter"/>
    <w:rsid w:val="00EA2001"/>
  </w:style>
  <w:style w:type="character" w:styleId="Textodelmarcadordeposicin">
    <w:name w:val="Placeholder Text"/>
    <w:basedOn w:val="Fuentedeprrafopredeter"/>
    <w:uiPriority w:val="99"/>
    <w:semiHidden/>
    <w:rsid w:val="00EA2001"/>
    <w:rPr>
      <w:color w:val="808080"/>
    </w:rPr>
  </w:style>
  <w:style w:type="paragraph" w:styleId="Prrafodelista">
    <w:name w:val="List Paragraph"/>
    <w:aliases w:val="Párrafo artículo,numeral,APA,Bullet List,FooterText,numbered,List Paragraph1,Paragraphe de liste1,lp1,TIT 2 IND,cS List Paragraph,Texto,titulo 5,Titulo parrafo,Capítulo,Cuadrícula clara - Énfasis 31,tEXTO,Titulo 1"/>
    <w:basedOn w:val="Normal"/>
    <w:link w:val="PrrafodelistaCar"/>
    <w:uiPriority w:val="34"/>
    <w:qFormat/>
    <w:rsid w:val="00D11D89"/>
    <w:pPr>
      <w:ind w:left="720"/>
      <w:contextualSpacing/>
    </w:pPr>
  </w:style>
  <w:style w:type="character" w:customStyle="1" w:styleId="PrrafodelistaCar">
    <w:name w:val="Párrafo de lista Car"/>
    <w:aliases w:val="Párrafo artículo Car,numeral Car,APA Car,Bullet List Car,FooterText Car,numbered Car,List Paragraph1 Car,Paragraphe de liste1 Car,lp1 Car,TIT 2 IND Car,cS List Paragraph Car,Texto Car,titulo 5 Car,Titulo parrafo Car,Capítulo Car"/>
    <w:link w:val="Prrafodelista"/>
    <w:uiPriority w:val="34"/>
    <w:qFormat/>
    <w:rsid w:val="00226467"/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Default">
    <w:name w:val="Default"/>
    <w:rsid w:val="000546FA"/>
    <w:pPr>
      <w:autoSpaceDE w:val="0"/>
      <w:autoSpaceDN w:val="0"/>
      <w:adjustRightInd w:val="0"/>
    </w:pPr>
    <w:rPr>
      <w:rFonts w:ascii="Arial" w:hAnsi="Arial" w:cs="Arial"/>
      <w:color w:val="000000"/>
      <w:lang w:val="es-EC"/>
    </w:rPr>
  </w:style>
  <w:style w:type="paragraph" w:styleId="NormalWeb">
    <w:name w:val="Normal (Web)"/>
    <w:basedOn w:val="Normal"/>
    <w:uiPriority w:val="99"/>
    <w:semiHidden/>
    <w:unhideWhenUsed/>
    <w:rsid w:val="00485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3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39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8074A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4AE"/>
    <w:pPr>
      <w:widowControl w:val="0"/>
      <w:autoSpaceDE w:val="0"/>
      <w:autoSpaceDN w:val="0"/>
      <w:jc w:val="left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4AE"/>
    <w:rPr>
      <w:rFonts w:ascii="Arial MT" w:eastAsia="Arial MT" w:hAnsi="Arial MT" w:cs="Arial MT"/>
      <w:sz w:val="22"/>
      <w:szCs w:val="22"/>
      <w:lang w:val="es-ES"/>
    </w:rPr>
  </w:style>
  <w:style w:type="paragraph" w:styleId="Puesto">
    <w:name w:val="Title"/>
    <w:basedOn w:val="Normal"/>
    <w:link w:val="PuestoCar"/>
    <w:uiPriority w:val="1"/>
    <w:qFormat/>
    <w:rsid w:val="008074AE"/>
    <w:pPr>
      <w:widowControl w:val="0"/>
      <w:autoSpaceDE w:val="0"/>
      <w:autoSpaceDN w:val="0"/>
      <w:spacing w:before="252"/>
      <w:ind w:left="2910" w:right="3150" w:firstLine="813"/>
      <w:jc w:val="left"/>
    </w:pPr>
    <w:rPr>
      <w:rFonts w:eastAsia="Arial" w:cs="Arial"/>
      <w:b/>
      <w:bCs/>
      <w:szCs w:val="22"/>
      <w:lang w:eastAsia="en-US"/>
    </w:rPr>
  </w:style>
  <w:style w:type="character" w:customStyle="1" w:styleId="PuestoCar">
    <w:name w:val="Puesto Car"/>
    <w:basedOn w:val="Fuentedeprrafopredeter"/>
    <w:link w:val="Puesto"/>
    <w:uiPriority w:val="1"/>
    <w:rsid w:val="008074AE"/>
    <w:rPr>
      <w:rFonts w:ascii="Arial" w:eastAsia="Arial" w:hAnsi="Arial" w:cs="Arial"/>
      <w:b/>
      <w:bCs/>
      <w:sz w:val="22"/>
      <w:szCs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8074AE"/>
    <w:pPr>
      <w:widowControl w:val="0"/>
      <w:autoSpaceDE w:val="0"/>
      <w:autoSpaceDN w:val="0"/>
      <w:spacing w:line="234" w:lineRule="exact"/>
      <w:ind w:left="127"/>
      <w:jc w:val="left"/>
    </w:pPr>
    <w:rPr>
      <w:rFonts w:ascii="Arial MT" w:eastAsia="Arial MT" w:hAnsi="Arial MT" w:cs="Arial M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0954-149C-4F59-B052-8F35BD55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RODRIGUEZ BURBANO SAYURI GISSELA</cp:lastModifiedBy>
  <cp:revision>15</cp:revision>
  <cp:lastPrinted>2024-07-17T20:09:00Z</cp:lastPrinted>
  <dcterms:created xsi:type="dcterms:W3CDTF">2024-09-23T21:13:00Z</dcterms:created>
  <dcterms:modified xsi:type="dcterms:W3CDTF">2024-09-27T19:11:00Z</dcterms:modified>
</cp:coreProperties>
</file>